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bCs/>
          <w:iCs/>
          <w:color w:val="000000"/>
          <w:sz w:val="24"/>
        </w:rPr>
      </w:pPr>
      <w:r>
        <w:rPr>
          <w:rFonts w:hint="eastAsia" w:ascii="宋体" w:hAnsi="宋体"/>
          <w:bCs/>
          <w:iCs/>
          <w:color w:val="000000"/>
          <w:sz w:val="24"/>
        </w:rPr>
        <w:t>证券代码：301215                                    证券简称：中汽股份</w:t>
      </w:r>
    </w:p>
    <w:p>
      <w:pPr>
        <w:spacing w:line="560" w:lineRule="exact"/>
        <w:jc w:val="center"/>
        <w:rPr>
          <w:rFonts w:ascii="宋体" w:hAnsi="宋体"/>
          <w:b/>
          <w:bCs/>
          <w:color w:val="000000"/>
          <w:sz w:val="44"/>
          <w:szCs w:val="44"/>
        </w:rPr>
      </w:pPr>
    </w:p>
    <w:p>
      <w:pPr>
        <w:spacing w:line="560" w:lineRule="exact"/>
        <w:jc w:val="center"/>
        <w:rPr>
          <w:rFonts w:ascii="宋体" w:hAnsi="宋体"/>
          <w:b/>
          <w:bCs/>
          <w:iCs/>
          <w:color w:val="000000"/>
          <w:sz w:val="28"/>
          <w:szCs w:val="28"/>
        </w:rPr>
      </w:pPr>
      <w:r>
        <w:rPr>
          <w:rFonts w:hint="eastAsia" w:ascii="宋体" w:hAnsi="宋体"/>
          <w:b/>
          <w:bCs/>
          <w:iCs/>
          <w:color w:val="000000"/>
          <w:sz w:val="28"/>
          <w:szCs w:val="28"/>
        </w:rPr>
        <w:t>中汽研汽车试验场股份有限公司</w:t>
      </w:r>
    </w:p>
    <w:p>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pPr>
        <w:spacing w:line="560" w:lineRule="exact"/>
        <w:rPr>
          <w:rFonts w:hint="default" w:ascii="宋体" w:hAnsi="宋体" w:eastAsia="宋体"/>
          <w:bCs/>
          <w:iCs/>
          <w:color w:val="000000"/>
          <w:sz w:val="24"/>
          <w:lang w:val="en-US" w:eastAsia="zh-CN"/>
        </w:rPr>
      </w:pPr>
      <w:r>
        <w:rPr>
          <w:rFonts w:hint="eastAsia" w:ascii="宋体" w:hAnsi="宋体"/>
          <w:bCs/>
          <w:iCs/>
          <w:color w:val="000000"/>
          <w:sz w:val="28"/>
          <w:szCs w:val="28"/>
        </w:rPr>
        <w:t xml:space="preserve">                                                </w:t>
      </w:r>
      <w:r>
        <w:rPr>
          <w:rFonts w:hint="eastAsia" w:ascii="宋体" w:hAnsi="宋体"/>
          <w:bCs/>
          <w:iCs/>
          <w:color w:val="000000"/>
          <w:sz w:val="24"/>
        </w:rPr>
        <w:t>编号：202</w:t>
      </w:r>
      <w:r>
        <w:rPr>
          <w:rFonts w:hint="eastAsia" w:ascii="宋体" w:hAnsi="宋体"/>
          <w:bCs/>
          <w:iCs/>
          <w:color w:val="000000"/>
          <w:sz w:val="24"/>
          <w:lang w:val="en-US" w:eastAsia="zh-CN"/>
        </w:rPr>
        <w:t>4</w:t>
      </w:r>
      <w:r>
        <w:rPr>
          <w:rFonts w:hint="eastAsia" w:ascii="宋体" w:hAnsi="宋体"/>
          <w:bCs/>
          <w:iCs/>
          <w:color w:val="000000"/>
          <w:sz w:val="24"/>
        </w:rPr>
        <w:t>-0</w:t>
      </w:r>
      <w:r>
        <w:rPr>
          <w:rFonts w:hint="eastAsia" w:ascii="宋体" w:hAnsi="宋体"/>
          <w:bCs/>
          <w:iCs/>
          <w:color w:val="000000"/>
          <w:sz w:val="24"/>
          <w:lang w:val="en-US" w:eastAsia="zh-CN"/>
        </w:rPr>
        <w:t>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投资者关系活动类别</w:t>
            </w:r>
          </w:p>
          <w:p>
            <w:pPr>
              <w:spacing w:line="560" w:lineRule="exact"/>
              <w:jc w:val="center"/>
              <w:rPr>
                <w:rFonts w:ascii="宋体" w:hAnsi="宋体"/>
                <w:bCs/>
                <w:iCs/>
                <w:color w:val="000000"/>
                <w:sz w:val="24"/>
              </w:rPr>
            </w:pP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bCs/>
                <w:iCs/>
                <w:color w:val="000000"/>
                <w:sz w:val="24"/>
              </w:rPr>
            </w:pPr>
            <w:r>
              <w:rPr>
                <w:rFonts w:hint="eastAsia" w:ascii="宋体" w:hAnsi="宋体"/>
                <w:bCs/>
                <w:iCs/>
                <w:color w:val="000000"/>
                <w:sz w:val="24"/>
              </w:rPr>
              <w:sym w:font="Wingdings 2" w:char="0052"/>
            </w:r>
            <w:r>
              <w:rPr>
                <w:rFonts w:hint="eastAsia" w:ascii="宋体" w:hAnsi="宋体"/>
                <w:color w:val="000000"/>
                <w:sz w:val="24"/>
              </w:rPr>
              <w:t xml:space="preserve">特定对象调研        </w:t>
            </w:r>
            <w:r>
              <w:rPr>
                <w:rFonts w:hint="eastAsia" w:ascii="宋体" w:hAnsi="宋体"/>
                <w:bCs/>
                <w:iCs/>
                <w:color w:val="000000"/>
                <w:sz w:val="24"/>
              </w:rPr>
              <w:t>□</w:t>
            </w:r>
            <w:r>
              <w:rPr>
                <w:rFonts w:hint="eastAsia" w:ascii="宋体" w:hAnsi="宋体"/>
                <w:color w:val="000000"/>
                <w:sz w:val="24"/>
              </w:rPr>
              <w:t>分析师会议</w:t>
            </w:r>
          </w:p>
          <w:p>
            <w:pPr>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 xml:space="preserve">媒体采访            </w:t>
            </w:r>
            <w:r>
              <w:rPr>
                <w:rFonts w:hint="eastAsia" w:ascii="宋体" w:hAnsi="宋体"/>
                <w:bCs/>
                <w:iCs/>
                <w:color w:val="000000"/>
                <w:sz w:val="24"/>
              </w:rPr>
              <w:t>□</w:t>
            </w:r>
            <w:r>
              <w:rPr>
                <w:rFonts w:hint="eastAsia" w:ascii="宋体" w:hAnsi="宋体"/>
                <w:color w:val="000000"/>
                <w:sz w:val="24"/>
              </w:rPr>
              <w:t>业绩说明会</w:t>
            </w:r>
          </w:p>
          <w:p>
            <w:pPr>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 xml:space="preserve">新闻发布会          </w:t>
            </w:r>
            <w:r>
              <w:rPr>
                <w:rFonts w:hint="eastAsia" w:ascii="宋体" w:hAnsi="宋体"/>
                <w:bCs/>
                <w:iCs/>
                <w:color w:val="000000"/>
                <w:sz w:val="24"/>
              </w:rPr>
              <w:t>□</w:t>
            </w:r>
            <w:r>
              <w:rPr>
                <w:rFonts w:hint="eastAsia" w:ascii="宋体" w:hAnsi="宋体"/>
                <w:color w:val="000000"/>
                <w:sz w:val="24"/>
              </w:rPr>
              <w:t>路演活动</w:t>
            </w:r>
          </w:p>
          <w:p>
            <w:pPr>
              <w:tabs>
                <w:tab w:val="left" w:pos="3045"/>
                <w:tab w:val="center" w:pos="3199"/>
              </w:tabs>
              <w:spacing w:line="560" w:lineRule="exact"/>
              <w:rPr>
                <w:rFonts w:ascii="宋体" w:hAnsi="宋体"/>
                <w:bCs/>
                <w:iCs/>
                <w:color w:val="000000"/>
                <w:sz w:val="24"/>
              </w:rPr>
            </w:pPr>
            <w:r>
              <w:rPr>
                <w:rFonts w:hint="eastAsia" w:ascii="宋体" w:hAnsi="宋体"/>
                <w:bCs/>
                <w:iCs/>
                <w:color w:val="000000"/>
                <w:sz w:val="24"/>
              </w:rPr>
              <w:sym w:font="Wingdings 2" w:char="0052"/>
            </w:r>
            <w:r>
              <w:rPr>
                <w:rFonts w:hint="eastAsia" w:ascii="宋体" w:hAnsi="宋体"/>
                <w:color w:val="000000"/>
                <w:sz w:val="24"/>
              </w:rPr>
              <w:t>现场参观</w:t>
            </w:r>
            <w:r>
              <w:rPr>
                <w:rFonts w:hint="eastAsia" w:ascii="宋体" w:hAnsi="宋体"/>
                <w:bCs/>
                <w:iCs/>
                <w:color w:val="000000"/>
                <w:sz w:val="24"/>
              </w:rPr>
              <w:tab/>
            </w:r>
          </w:p>
          <w:p>
            <w:pPr>
              <w:tabs>
                <w:tab w:val="center" w:pos="3199"/>
              </w:tabs>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参与单位名称及人员姓名</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兴业证券-刘馨遥、刘思仪</w:t>
            </w:r>
          </w:p>
          <w:p>
            <w:pPr>
              <w:spacing w:line="560" w:lineRule="exact"/>
              <w:jc w:val="left"/>
              <w:rPr>
                <w:rFonts w:hint="eastAsia"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惠升基金-陆浩然</w:t>
            </w:r>
          </w:p>
          <w:p>
            <w:pPr>
              <w:spacing w:line="560" w:lineRule="exact"/>
              <w:jc w:val="left"/>
              <w:rPr>
                <w:rFonts w:hint="eastAsia"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山西证券资管-姜月</w:t>
            </w:r>
          </w:p>
          <w:p>
            <w:pPr>
              <w:spacing w:line="560" w:lineRule="exact"/>
              <w:jc w:val="left"/>
              <w:rPr>
                <w:rFonts w:hint="default"/>
                <w:lang w:val="en-US" w:eastAsia="zh-CN"/>
              </w:rPr>
            </w:pPr>
            <w:r>
              <w:rPr>
                <w:rFonts w:hint="default" w:ascii="宋体" w:hAnsi="宋体" w:eastAsia="宋体" w:cs="Times New Roman"/>
                <w:bCs/>
                <w:iCs/>
                <w:color w:val="000000"/>
                <w:kern w:val="2"/>
                <w:sz w:val="24"/>
                <w:szCs w:val="24"/>
                <w:lang w:val="en-US" w:eastAsia="zh-CN" w:bidi="ar-SA"/>
              </w:rPr>
              <w:t>农银汇理</w:t>
            </w:r>
            <w:r>
              <w:rPr>
                <w:rFonts w:hint="eastAsia" w:ascii="宋体" w:hAnsi="宋体" w:eastAsia="宋体" w:cs="Times New Roman"/>
                <w:bCs/>
                <w:iCs/>
                <w:color w:val="000000"/>
                <w:kern w:val="2"/>
                <w:sz w:val="24"/>
                <w:szCs w:val="24"/>
                <w:lang w:val="en-US" w:eastAsia="zh-CN" w:bidi="ar-SA"/>
              </w:rPr>
              <w:t>-</w:t>
            </w:r>
            <w:r>
              <w:rPr>
                <w:rFonts w:hint="default" w:ascii="宋体" w:hAnsi="宋体" w:eastAsia="宋体" w:cs="Times New Roman"/>
                <w:bCs/>
                <w:iCs/>
                <w:color w:val="000000"/>
                <w:kern w:val="2"/>
                <w:sz w:val="24"/>
                <w:szCs w:val="24"/>
                <w:lang w:val="en-US" w:eastAsia="zh-CN" w:bidi="ar-SA"/>
              </w:rPr>
              <w:t>左腾飞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时间</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202</w:t>
            </w:r>
            <w:r>
              <w:rPr>
                <w:rFonts w:hint="eastAsia" w:ascii="宋体" w:hAnsi="宋体" w:cs="Times New Roman"/>
                <w:bCs/>
                <w:iCs/>
                <w:color w:val="000000"/>
                <w:kern w:val="2"/>
                <w:sz w:val="24"/>
                <w:szCs w:val="24"/>
                <w:lang w:val="en-US" w:eastAsia="zh-CN" w:bidi="ar-SA"/>
              </w:rPr>
              <w:t>4</w:t>
            </w:r>
            <w:r>
              <w:rPr>
                <w:rFonts w:hint="eastAsia" w:ascii="宋体" w:hAnsi="宋体" w:eastAsia="宋体" w:cs="Times New Roman"/>
                <w:bCs/>
                <w:iCs/>
                <w:color w:val="000000"/>
                <w:kern w:val="2"/>
                <w:sz w:val="24"/>
                <w:szCs w:val="24"/>
                <w:lang w:val="en-US" w:eastAsia="zh-CN" w:bidi="ar-SA"/>
              </w:rPr>
              <w:t>年</w:t>
            </w:r>
            <w:r>
              <w:rPr>
                <w:rFonts w:hint="eastAsia" w:ascii="宋体" w:hAnsi="宋体" w:cs="Times New Roman"/>
                <w:bCs/>
                <w:iCs/>
                <w:color w:val="000000"/>
                <w:kern w:val="2"/>
                <w:sz w:val="24"/>
                <w:szCs w:val="24"/>
                <w:lang w:val="en-US" w:eastAsia="zh-CN" w:bidi="ar-SA"/>
              </w:rPr>
              <w:t>1</w:t>
            </w:r>
            <w:r>
              <w:rPr>
                <w:rFonts w:hint="eastAsia" w:ascii="宋体" w:hAnsi="宋体" w:eastAsia="宋体" w:cs="Times New Roman"/>
                <w:bCs/>
                <w:iCs/>
                <w:color w:val="000000"/>
                <w:kern w:val="2"/>
                <w:sz w:val="24"/>
                <w:szCs w:val="24"/>
                <w:lang w:val="en-US" w:eastAsia="zh-CN" w:bidi="ar-SA"/>
              </w:rPr>
              <w:t>月</w:t>
            </w:r>
            <w:r>
              <w:rPr>
                <w:rFonts w:hint="eastAsia" w:ascii="宋体" w:hAnsi="宋体" w:cs="Times New Roman"/>
                <w:bCs/>
                <w:iCs/>
                <w:color w:val="000000"/>
                <w:kern w:val="2"/>
                <w:sz w:val="24"/>
                <w:szCs w:val="24"/>
                <w:lang w:val="en-US" w:eastAsia="zh-CN" w:bidi="ar-SA"/>
              </w:rPr>
              <w:t>8</w:t>
            </w:r>
            <w:r>
              <w:rPr>
                <w:rFonts w:hint="eastAsia" w:ascii="宋体" w:hAnsi="宋体" w:eastAsia="宋体" w:cs="Times New Roman"/>
                <w:bCs/>
                <w:iCs/>
                <w:color w:val="000000"/>
                <w:kern w:val="2"/>
                <w:sz w:val="24"/>
                <w:szCs w:val="24"/>
                <w:lang w:val="en-US" w:eastAsia="zh-CN" w:bidi="ar-SA"/>
              </w:rPr>
              <w:t>日1</w:t>
            </w:r>
            <w:r>
              <w:rPr>
                <w:rFonts w:hint="eastAsia" w:ascii="宋体" w:hAnsi="宋体" w:cs="Times New Roman"/>
                <w:bCs/>
                <w:iCs/>
                <w:color w:val="000000"/>
                <w:kern w:val="2"/>
                <w:sz w:val="24"/>
                <w:szCs w:val="24"/>
                <w:lang w:val="en-US" w:eastAsia="zh-CN" w:bidi="ar-SA"/>
              </w:rPr>
              <w:t>4</w:t>
            </w:r>
            <w:r>
              <w:rPr>
                <w:rFonts w:hint="eastAsia" w:ascii="宋体" w:hAnsi="宋体" w:eastAsia="宋体" w:cs="Times New Roman"/>
                <w:bCs/>
                <w:iCs/>
                <w:color w:val="000000"/>
                <w:kern w:val="2"/>
                <w:sz w:val="24"/>
                <w:szCs w:val="24"/>
                <w:lang w:val="en-US" w:eastAsia="zh-CN" w:bidi="ar-SA"/>
              </w:rPr>
              <w:t>:00-</w:t>
            </w:r>
            <w:r>
              <w:rPr>
                <w:rFonts w:hint="eastAsia" w:ascii="宋体" w:hAnsi="宋体" w:eastAsia="宋体" w:cs="Times New Roman"/>
                <w:bCs/>
                <w:iCs/>
                <w:color w:val="000000"/>
                <w:kern w:val="2"/>
                <w:sz w:val="24"/>
                <w:szCs w:val="24"/>
                <w:highlight w:val="none"/>
                <w:lang w:val="en-US" w:eastAsia="zh-CN" w:bidi="ar-SA"/>
              </w:rPr>
              <w:t>1</w:t>
            </w:r>
            <w:r>
              <w:rPr>
                <w:rFonts w:hint="eastAsia" w:ascii="宋体" w:hAnsi="宋体" w:cs="Times New Roman"/>
                <w:bCs/>
                <w:iCs/>
                <w:color w:val="000000"/>
                <w:kern w:val="2"/>
                <w:sz w:val="24"/>
                <w:szCs w:val="24"/>
                <w:highlight w:val="none"/>
                <w:lang w:val="en-US" w:eastAsia="zh-CN" w:bidi="ar-SA"/>
              </w:rPr>
              <w:t>6</w:t>
            </w:r>
            <w:r>
              <w:rPr>
                <w:rFonts w:hint="eastAsia" w:ascii="宋体" w:hAnsi="宋体" w:eastAsia="宋体" w:cs="Times New Roman"/>
                <w:bCs/>
                <w:iCs/>
                <w:color w:val="000000"/>
                <w:kern w:val="2"/>
                <w:sz w:val="24"/>
                <w:szCs w:val="24"/>
                <w:highlight w:val="none"/>
                <w:lang w:val="en-US"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地点</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eastAsia="宋体"/>
                <w:bCs/>
                <w:iCs/>
                <w:color w:val="000000"/>
                <w:sz w:val="24"/>
                <w:lang w:val="en-US" w:eastAsia="zh-CN"/>
              </w:rPr>
            </w:pPr>
            <w:r>
              <w:rPr>
                <w:rFonts w:hint="eastAsia" w:ascii="宋体" w:hAnsi="宋体"/>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上市公司接待人员姓名</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财务负责人兼董事会秘书：夏秀国先生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Cs/>
                <w:iCs/>
                <w:color w:val="000000"/>
                <w:sz w:val="24"/>
              </w:rPr>
            </w:pPr>
            <w:r>
              <w:rPr>
                <w:rFonts w:hint="eastAsia" w:ascii="宋体" w:hAnsi="宋体"/>
                <w:bCs/>
                <w:iCs/>
                <w:color w:val="000000"/>
                <w:sz w:val="24"/>
              </w:rPr>
              <w:t>投资者关系活动主要内容介绍</w:t>
            </w:r>
          </w:p>
          <w:p>
            <w:pPr>
              <w:spacing w:line="560" w:lineRule="exact"/>
              <w:jc w:val="center"/>
              <w:rPr>
                <w:rFonts w:ascii="宋体" w:hAnsi="宋体"/>
                <w:bCs/>
                <w:iCs/>
                <w:color w:val="000000"/>
                <w:sz w:val="24"/>
              </w:rPr>
            </w:pP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Times New Roman"/>
                <w:bCs/>
                <w:iCs/>
                <w:color w:val="000000"/>
                <w:sz w:val="24"/>
                <w:lang w:val="en-US" w:eastAsia="zh-CN"/>
              </w:rPr>
            </w:pPr>
            <w:r>
              <w:rPr>
                <w:rFonts w:hint="eastAsia" w:ascii="宋体" w:hAnsi="宋体"/>
                <w:bCs/>
                <w:iCs/>
                <w:color w:val="000000"/>
                <w:sz w:val="24"/>
                <w:lang w:val="en-US" w:eastAsia="zh-CN"/>
              </w:rPr>
              <w:t>本次交流活动采用现场交流</w:t>
            </w:r>
            <w:r>
              <w:rPr>
                <w:rFonts w:hint="eastAsia" w:ascii="宋体" w:hAnsi="宋体"/>
                <w:bCs/>
                <w:iCs/>
                <w:color w:val="000000"/>
                <w:sz w:val="24"/>
              </w:rPr>
              <w:t>方式举行</w:t>
            </w:r>
            <w:r>
              <w:rPr>
                <w:rFonts w:hint="eastAsia" w:ascii="宋体" w:hAnsi="宋体"/>
                <w:bCs/>
                <w:iCs/>
                <w:color w:val="000000"/>
                <w:sz w:val="24"/>
                <w:lang w:eastAsia="zh-CN"/>
              </w:rPr>
              <w:t>，</w:t>
            </w:r>
            <w:r>
              <w:rPr>
                <w:rFonts w:hint="eastAsia" w:ascii="宋体" w:hAnsi="宋体"/>
                <w:bCs/>
                <w:iCs/>
                <w:color w:val="000000"/>
                <w:sz w:val="24"/>
                <w:lang w:val="en-US" w:eastAsia="zh-CN"/>
              </w:rPr>
              <w:t>活动</w:t>
            </w:r>
            <w:r>
              <w:rPr>
                <w:rFonts w:hint="eastAsia" w:ascii="宋体" w:hAnsi="宋体" w:eastAsia="宋体" w:cs="Times New Roman"/>
                <w:bCs/>
                <w:iCs/>
                <w:color w:val="000000"/>
                <w:sz w:val="24"/>
                <w:lang w:val="en-US" w:eastAsia="zh-CN"/>
              </w:rPr>
              <w:t>不涉及应披露的重大信息</w:t>
            </w:r>
            <w:r>
              <w:rPr>
                <w:rFonts w:hint="eastAsia" w:ascii="宋体" w:hAnsi="宋体" w:cs="Times New Roman"/>
                <w:bCs/>
                <w:iCs/>
                <w:color w:val="000000"/>
                <w:sz w:val="24"/>
                <w:lang w:val="en-US" w:eastAsia="zh-CN"/>
              </w:rPr>
              <w:t>，</w:t>
            </w:r>
            <w:r>
              <w:rPr>
                <w:rFonts w:hint="eastAsia" w:ascii="宋体" w:hAnsi="宋体" w:eastAsia="宋体" w:cs="Times New Roman"/>
                <w:bCs/>
                <w:iCs/>
                <w:color w:val="000000"/>
                <w:sz w:val="24"/>
                <w:lang w:val="en-US" w:eastAsia="zh-CN"/>
              </w:rPr>
              <w:t>与投资者交流情况如下：</w:t>
            </w:r>
          </w:p>
          <w:p>
            <w:pPr>
              <w:pStyle w:val="19"/>
              <w:spacing w:line="360" w:lineRule="auto"/>
              <w:ind w:firstLine="480"/>
              <w:rPr>
                <w:rFonts w:hint="default" w:ascii="宋体" w:hAnsi="宋体" w:eastAsia="宋体" w:cs="宋体"/>
                <w:b/>
                <w:bCs/>
                <w:sz w:val="24"/>
                <w:lang w:val="en-US" w:eastAsia="zh-CN"/>
              </w:rPr>
            </w:pPr>
            <w:r>
              <w:rPr>
                <w:rFonts w:hint="eastAsia" w:ascii="宋体" w:hAnsi="宋体" w:eastAsia="宋体" w:cs="宋体"/>
                <w:b/>
                <w:bCs/>
                <w:sz w:val="24"/>
                <w:lang w:val="en-US" w:eastAsia="zh-CN"/>
              </w:rPr>
              <w:t>1.</w:t>
            </w:r>
            <w:r>
              <w:rPr>
                <w:rFonts w:hint="eastAsia" w:ascii="宋体" w:hAnsi="宋体" w:cs="宋体"/>
                <w:b/>
                <w:bCs/>
                <w:sz w:val="24"/>
                <w:lang w:val="en-US" w:eastAsia="zh-CN"/>
              </w:rPr>
              <w:t>目前国内有哪些能做全场景智能驾驶测试的试验场，我们盐城的智能网联试验场有什么特点？</w:t>
            </w:r>
          </w:p>
          <w:p>
            <w:pPr>
              <w:pStyle w:val="19"/>
              <w:spacing w:line="360" w:lineRule="auto"/>
              <w:ind w:firstLine="480"/>
              <w:rPr>
                <w:rFonts w:hint="eastAsia" w:ascii="宋体" w:hAnsi="宋体" w:cs="宋体"/>
                <w:b w:val="0"/>
                <w:bCs w:val="0"/>
                <w:sz w:val="24"/>
                <w:lang w:val="en-US" w:eastAsia="zh-CN"/>
              </w:rPr>
            </w:pPr>
            <w:r>
              <w:rPr>
                <w:rFonts w:hint="eastAsia" w:ascii="宋体" w:hAnsi="宋体" w:cs="宋体"/>
                <w:b w:val="0"/>
                <w:bCs w:val="0"/>
                <w:sz w:val="24"/>
                <w:lang w:val="en-US" w:eastAsia="zh-CN"/>
              </w:rPr>
              <w:t>答：目前国内智能网联汽车试验场有武汉智能网联汽车试验场、苏州阳澄湖试验场、成都中德智能网联汽车试验场等。我们长三角（盐城）智能网联汽车试验场占地面积约4000亩，场地规模相对较大，规划建设7条专用试验道路，搭建街区、隧道、高架等真实场景。</w:t>
            </w:r>
          </w:p>
          <w:p>
            <w:pPr>
              <w:pStyle w:val="19"/>
              <w:spacing w:line="360" w:lineRule="auto"/>
              <w:ind w:firstLine="480"/>
              <w:rPr>
                <w:rFonts w:hint="eastAsia" w:ascii="宋体" w:hAnsi="宋体" w:cs="宋体"/>
                <w:b w:val="0"/>
                <w:bCs w:val="0"/>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2.二期试验场投产节奏及投产后预计折旧摊销的水平？</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答：长三角（盐城）智能网联汽车试验场计划在2024年6月底投入使用，预计每年折旧摊销成本约5000-6000万元。</w:t>
            </w:r>
          </w:p>
          <w:p>
            <w:pPr>
              <w:pStyle w:val="19"/>
              <w:spacing w:line="360" w:lineRule="auto"/>
              <w:ind w:firstLine="480"/>
              <w:rPr>
                <w:rFonts w:hint="default" w:ascii="宋体" w:hAnsi="宋体" w:cs="宋体"/>
                <w:b w:val="0"/>
                <w:bCs w:val="0"/>
                <w:sz w:val="24"/>
                <w:lang w:val="en-US" w:eastAsia="zh-CN"/>
              </w:rPr>
            </w:pPr>
          </w:p>
          <w:p>
            <w:pPr>
              <w:pStyle w:val="19"/>
              <w:numPr>
                <w:ilvl w:val="0"/>
                <w:numId w:val="0"/>
              </w:numPr>
              <w:spacing w:line="360" w:lineRule="auto"/>
              <w:ind w:firstLine="482" w:firstLineChars="200"/>
              <w:rPr>
                <w:rFonts w:hint="eastAsia" w:ascii="宋体" w:hAnsi="宋体" w:cs="宋体"/>
                <w:b w:val="0"/>
                <w:bCs w:val="0"/>
                <w:sz w:val="24"/>
                <w:lang w:val="en-US" w:eastAsia="zh-CN"/>
              </w:rPr>
            </w:pPr>
            <w:r>
              <w:rPr>
                <w:rFonts w:hint="eastAsia" w:ascii="宋体" w:hAnsi="宋体" w:cs="宋体"/>
                <w:b/>
                <w:bCs/>
                <w:sz w:val="24"/>
                <w:lang w:val="en-US" w:eastAsia="zh-CN"/>
              </w:rPr>
              <w:t>3.二期试验场目前已有哪些签约客户？</w:t>
            </w:r>
          </w:p>
          <w:p>
            <w:pPr>
              <w:pStyle w:val="19"/>
              <w:numPr>
                <w:ilvl w:val="0"/>
                <w:numId w:val="0"/>
              </w:numPr>
              <w:spacing w:line="360" w:lineRule="auto"/>
              <w:ind w:firstLine="480"/>
              <w:rPr>
                <w:rFonts w:hint="default" w:ascii="宋体" w:hAnsi="宋体" w:cs="宋体"/>
                <w:b w:val="0"/>
                <w:bCs w:val="0"/>
                <w:sz w:val="24"/>
                <w:lang w:val="en-US" w:eastAsia="zh-CN"/>
              </w:rPr>
            </w:pPr>
            <w:r>
              <w:rPr>
                <w:rFonts w:hint="eastAsia" w:ascii="宋体" w:hAnsi="宋体" w:cs="宋体"/>
                <w:b w:val="0"/>
                <w:bCs w:val="0"/>
                <w:sz w:val="24"/>
                <w:lang w:val="en-US" w:eastAsia="zh-CN"/>
              </w:rPr>
              <w:t>答：今年新签合同时，根据部分客户需求，公司将二期试验场各条试验道路收费情况加入到公司标准化价格体系中并作为合同附件，具体客户信息不方便透露。</w:t>
            </w:r>
          </w:p>
          <w:p>
            <w:pPr>
              <w:pStyle w:val="19"/>
              <w:numPr>
                <w:ilvl w:val="0"/>
                <w:numId w:val="0"/>
              </w:numPr>
              <w:spacing w:line="360" w:lineRule="auto"/>
              <w:ind w:firstLine="480"/>
              <w:rPr>
                <w:rFonts w:hint="default" w:ascii="宋体" w:hAnsi="宋体" w:cs="宋体"/>
                <w:b w:val="0"/>
                <w:bCs w:val="0"/>
                <w:sz w:val="24"/>
                <w:lang w:val="en-US" w:eastAsia="zh-CN"/>
              </w:rPr>
            </w:pPr>
          </w:p>
          <w:p>
            <w:pPr>
              <w:pStyle w:val="19"/>
              <w:numPr>
                <w:ilvl w:val="0"/>
                <w:numId w:val="0"/>
              </w:numPr>
              <w:spacing w:line="360" w:lineRule="auto"/>
              <w:ind w:firstLine="482" w:firstLineChars="200"/>
              <w:rPr>
                <w:rFonts w:hint="default" w:ascii="宋体" w:hAnsi="宋体" w:cs="宋体"/>
                <w:b/>
                <w:bCs/>
                <w:sz w:val="24"/>
                <w:lang w:val="en-US" w:eastAsia="zh-CN"/>
              </w:rPr>
            </w:pPr>
            <w:r>
              <w:rPr>
                <w:rFonts w:hint="eastAsia" w:ascii="宋体" w:hAnsi="宋体" w:cs="宋体"/>
                <w:b/>
                <w:bCs/>
                <w:color w:val="auto"/>
                <w:sz w:val="24"/>
                <w:lang w:val="en-US" w:eastAsia="zh-CN"/>
              </w:rPr>
              <w:t>4</w:t>
            </w:r>
            <w:r>
              <w:rPr>
                <w:rFonts w:hint="eastAsia" w:ascii="宋体" w:hAnsi="宋体" w:cs="宋体"/>
                <w:b/>
                <w:bCs/>
                <w:sz w:val="24"/>
                <w:lang w:val="en-US" w:eastAsia="zh-CN"/>
              </w:rPr>
              <w:t>.招股书中，公司前几年场地道路饱和度大约在40%左右，2023年试验道路饱和度情况怎样？道路使用率增长情况怎样？</w:t>
            </w:r>
          </w:p>
          <w:p>
            <w:pPr>
              <w:pStyle w:val="19"/>
              <w:numPr>
                <w:ilvl w:val="0"/>
                <w:numId w:val="0"/>
              </w:numPr>
              <w:spacing w:line="360" w:lineRule="auto"/>
              <w:ind w:firstLine="480" w:firstLineChars="200"/>
              <w:rPr>
                <w:rFonts w:hint="eastAsia" w:ascii="宋体" w:hAnsi="宋体" w:cs="宋体"/>
                <w:b/>
                <w:bCs/>
                <w:sz w:val="24"/>
                <w:lang w:val="en-US" w:eastAsia="zh-CN"/>
              </w:rPr>
            </w:pPr>
            <w:r>
              <w:rPr>
                <w:rFonts w:hint="eastAsia" w:ascii="宋体" w:hAnsi="宋体" w:cs="宋体"/>
                <w:b w:val="0"/>
                <w:bCs w:val="0"/>
                <w:i w:val="0"/>
                <w:iCs w:val="0"/>
                <w:sz w:val="24"/>
                <w:lang w:val="en-US" w:eastAsia="zh-CN"/>
              </w:rPr>
              <w:t>答：2023年公司前三季度实现营业收入2.62亿元，同比增长11.04%，公司场地道路饱和度有所提升。同时公司通过车辆错峰分流、道路闲时测试引导等方式，道路使用较去年有不同程度涨幅。</w:t>
            </w:r>
            <w:bookmarkStart w:id="0" w:name="_GoBack"/>
            <w:bookmarkEnd w:id="0"/>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5.一款车在公司试验的费用是多少？</w:t>
            </w:r>
          </w:p>
          <w:p>
            <w:pPr>
              <w:pStyle w:val="19"/>
              <w:spacing w:line="360" w:lineRule="auto"/>
              <w:ind w:firstLine="480"/>
              <w:rPr>
                <w:rFonts w:hint="default" w:ascii="宋体" w:hAnsi="宋体" w:cs="宋体"/>
                <w:b w:val="0"/>
                <w:bCs w:val="0"/>
                <w:sz w:val="24"/>
                <w:lang w:val="en-US" w:eastAsia="zh-CN"/>
              </w:rPr>
            </w:pPr>
            <w:r>
              <w:rPr>
                <w:rFonts w:hint="eastAsia" w:ascii="宋体" w:hAnsi="宋体" w:cs="宋体"/>
                <w:b w:val="0"/>
                <w:bCs w:val="0"/>
                <w:sz w:val="24"/>
                <w:lang w:val="en-US" w:eastAsia="zh-CN"/>
              </w:rPr>
              <w:t>答：传统测试中的每款车的试验费用需要结合整车企业在研发中对道路测试的标准及其测试需求，每家整车企业试验费用不同，试验费用从百万级到千万级不等。</w:t>
            </w:r>
          </w:p>
          <w:p>
            <w:pPr>
              <w:pStyle w:val="19"/>
              <w:spacing w:line="360" w:lineRule="auto"/>
              <w:ind w:firstLine="480"/>
              <w:rPr>
                <w:rFonts w:hint="default" w:ascii="宋体" w:hAnsi="宋体" w:cs="宋体"/>
                <w:b/>
                <w:bCs/>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6.公司2022年前五大客户具体是哪几家？</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答：公司《2022年年度报告》披露第二大客户为控股股东中汽中心，中汽中心通过本部及其下属的天津检验中心等子公司与公司有业务合作，根据保密要求，不方便透露其他四大客户信息，具体可关注公司公告。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eastAsia" w:ascii="宋体" w:hAnsi="宋体" w:cs="宋体"/>
                <w:b/>
                <w:bCs/>
                <w:sz w:val="24"/>
                <w:lang w:val="en-US" w:eastAsia="zh-CN"/>
              </w:rPr>
            </w:pPr>
            <w:r>
              <w:rPr>
                <w:rFonts w:hint="eastAsia" w:ascii="宋体" w:hAnsi="宋体" w:cs="宋体"/>
                <w:b/>
                <w:bCs/>
                <w:sz w:val="24"/>
                <w:lang w:val="en-US" w:eastAsia="zh-CN"/>
              </w:rPr>
              <w:t>7.为什么中汽中心选择推动贵公司上市？</w:t>
            </w:r>
          </w:p>
          <w:p>
            <w:pPr>
              <w:pStyle w:val="19"/>
              <w:spacing w:line="360" w:lineRule="auto"/>
              <w:ind w:firstLine="480"/>
              <w:rPr>
                <w:rFonts w:hint="default" w:ascii="宋体" w:hAnsi="宋体" w:cs="宋体"/>
                <w:sz w:val="24"/>
                <w:lang w:val="en-US" w:eastAsia="zh-CN"/>
              </w:rPr>
            </w:pPr>
            <w:r>
              <w:rPr>
                <w:rFonts w:hint="eastAsia" w:ascii="宋体" w:hAnsi="宋体" w:cs="宋体"/>
                <w:sz w:val="24"/>
              </w:rPr>
              <w:t>答：</w:t>
            </w:r>
            <w:r>
              <w:rPr>
                <w:rFonts w:hint="eastAsia" w:ascii="宋体" w:hAnsi="宋体" w:cs="宋体"/>
                <w:sz w:val="24"/>
                <w:lang w:val="en-US" w:eastAsia="zh-CN"/>
              </w:rPr>
              <w:t>国家推动国企改革三年行动大背景下，中汽中心推动公司上市原因为：公司成立于2011年，上市前公司三方股东均为国有企业，公司在治理方面体系健全、运营合规，且公司业务独立，盈利能力好，同时综合考虑推动速度等各方面原因最终选择中汽股份，公司在2019年8月启动改制上市工作，2020年6月完成股改，2021年7月通过深交所上市委员会审议会议，2022年3月在深交所创业板上市，实现中汽中心控股上市公司零突破。</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8.未来中汽中心如有其他子公司上市，公司未来会与其合并或有其他安排吗？</w:t>
            </w:r>
          </w:p>
          <w:p>
            <w:pPr>
              <w:pStyle w:val="19"/>
              <w:spacing w:line="360" w:lineRule="auto"/>
              <w:ind w:firstLine="480"/>
              <w:rPr>
                <w:rFonts w:hint="eastAsia" w:ascii="宋体" w:hAnsi="宋体" w:cs="宋体"/>
                <w:sz w:val="24"/>
                <w:lang w:val="en-US" w:eastAsia="zh-CN"/>
              </w:rPr>
            </w:pPr>
            <w:r>
              <w:rPr>
                <w:rFonts w:hint="eastAsia" w:ascii="宋体" w:hAnsi="宋体" w:cs="宋体"/>
                <w:sz w:val="24"/>
              </w:rPr>
              <w:t>答：</w:t>
            </w:r>
            <w:r>
              <w:rPr>
                <w:rFonts w:hint="eastAsia" w:ascii="宋体" w:hAnsi="宋体" w:cs="宋体"/>
                <w:sz w:val="24"/>
                <w:lang w:val="en-US" w:eastAsia="zh-CN"/>
              </w:rPr>
              <w:t>公司按照法律法规履行信息披露义务，请关注公司公告。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sz w:val="24"/>
                <w:lang w:val="en-US" w:eastAsia="zh-CN"/>
              </w:rPr>
            </w:pPr>
            <w:r>
              <w:rPr>
                <w:rFonts w:hint="eastAsia" w:ascii="宋体" w:hAnsi="宋体" w:cs="宋体"/>
                <w:b/>
                <w:bCs/>
                <w:sz w:val="24"/>
                <w:lang w:val="en-US" w:eastAsia="zh-CN"/>
              </w:rPr>
              <w:t>9.客户开拓是直接联系公司，还是与中汽中心联系？</w:t>
            </w:r>
          </w:p>
          <w:p>
            <w:pPr>
              <w:pStyle w:val="19"/>
              <w:spacing w:line="360" w:lineRule="auto"/>
              <w:ind w:firstLine="480"/>
              <w:rPr>
                <w:rFonts w:hint="default" w:ascii="宋体" w:hAnsi="宋体" w:eastAsia="宋体" w:cs="宋体"/>
                <w:sz w:val="24"/>
                <w:lang w:val="en-US" w:eastAsia="zh-CN"/>
              </w:rPr>
            </w:pPr>
            <w:r>
              <w:rPr>
                <w:rFonts w:hint="eastAsia" w:ascii="宋体" w:hAnsi="宋体" w:cs="宋体"/>
                <w:sz w:val="24"/>
              </w:rPr>
              <w:t>答：</w:t>
            </w:r>
            <w:r>
              <w:rPr>
                <w:rFonts w:hint="eastAsia" w:ascii="宋体" w:hAnsi="宋体" w:cs="宋体"/>
                <w:sz w:val="24"/>
                <w:lang w:val="en-US" w:eastAsia="zh-CN"/>
              </w:rPr>
              <w:t>公司在业务上独立，公司与客户直接联系、签订合同并开展合作。</w:t>
            </w:r>
          </w:p>
          <w:p>
            <w:pPr>
              <w:pStyle w:val="19"/>
              <w:spacing w:line="360" w:lineRule="auto"/>
              <w:ind w:firstLine="480"/>
              <w:rPr>
                <w:rFonts w:hint="default"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10.公司未来资本开支规划是什么？</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答：根据公司“十四五”发展战略规划，近两年公司投资计划主要为长三角（盐城）智能网联汽车试验场和一期试验场的湿操控湿圆环道路建设。未来其他资本运作规划，请关注公司公告。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11.国资委对集团公司、公司的考核主要倾向于哪些方面？公司2024年人员扩张情况？</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答：国资委考核方向一般为一利五率、研发投入等方面。公司计划在2024年年底员工规模达到130人左右。</w:t>
            </w:r>
          </w:p>
          <w:p>
            <w:pPr>
              <w:pStyle w:val="19"/>
              <w:spacing w:line="360" w:lineRule="auto"/>
              <w:ind w:firstLine="480"/>
              <w:rPr>
                <w:rFonts w:hint="default"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12.截至9月30日，公司前十大股东中三位自然人与公司有什么特殊关系？</w:t>
            </w:r>
          </w:p>
          <w:p>
            <w:pPr>
              <w:pStyle w:val="19"/>
              <w:spacing w:line="360" w:lineRule="auto"/>
              <w:ind w:firstLine="480"/>
              <w:rPr>
                <w:rFonts w:hint="default" w:ascii="宋体" w:hAnsi="宋体" w:cs="宋体"/>
                <w:b/>
                <w:bCs/>
                <w:sz w:val="24"/>
                <w:highlight w:val="yellow"/>
                <w:lang w:val="en-US" w:eastAsia="zh-CN"/>
              </w:rPr>
            </w:pPr>
            <w:r>
              <w:rPr>
                <w:rFonts w:hint="eastAsia" w:ascii="宋体" w:hAnsi="宋体" w:cs="宋体"/>
                <w:b w:val="0"/>
                <w:bCs w:val="0"/>
                <w:sz w:val="24"/>
                <w:lang w:val="en-US" w:eastAsia="zh-CN"/>
              </w:rPr>
              <w:t>答：</w:t>
            </w:r>
            <w:r>
              <w:rPr>
                <w:rFonts w:hint="eastAsia" w:ascii="宋体" w:hAnsi="宋体" w:cs="宋体"/>
                <w:b w:val="0"/>
                <w:bCs w:val="0"/>
                <w:sz w:val="24"/>
                <w:highlight w:val="none"/>
                <w:lang w:val="en-US" w:eastAsia="zh-CN"/>
              </w:rPr>
              <w:t>三位自然人与公司无特殊关系，均为公司自然人股东。</w:t>
            </w:r>
          </w:p>
          <w:p>
            <w:pPr>
              <w:pStyle w:val="19"/>
              <w:spacing w:line="360" w:lineRule="auto"/>
              <w:ind w:firstLine="480"/>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bCs/>
                <w:iCs/>
                <w:color w:val="000000"/>
                <w:sz w:val="24"/>
              </w:rPr>
            </w:pPr>
            <w:r>
              <w:rPr>
                <w:rFonts w:hint="eastAsia" w:ascii="宋体" w:hAnsi="宋体"/>
                <w:bCs/>
                <w:iCs/>
                <w:color w:val="000000"/>
                <w:sz w:val="24"/>
              </w:rPr>
              <w:t>附件清单</w:t>
            </w:r>
          </w:p>
          <w:p>
            <w:pPr>
              <w:spacing w:line="560" w:lineRule="exact"/>
              <w:jc w:val="center"/>
              <w:rPr>
                <w:rFonts w:ascii="宋体" w:hAnsi="宋体"/>
                <w:bCs/>
                <w:iCs/>
                <w:color w:val="000000"/>
                <w:sz w:val="24"/>
              </w:rPr>
            </w:pPr>
            <w:r>
              <w:rPr>
                <w:rFonts w:hint="eastAsia" w:ascii="宋体" w:hAnsi="宋体"/>
                <w:bCs/>
                <w:iCs/>
                <w:color w:val="000000"/>
                <w:sz w:val="24"/>
              </w:rPr>
              <w:t>（如有）</w:t>
            </w: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ascii="宋体" w:hAnsi="宋体"/>
                <w:bCs/>
                <w:iCs/>
                <w:color w:val="000000"/>
                <w:sz w:val="24"/>
              </w:rPr>
            </w:pPr>
            <w:r>
              <w:rPr>
                <w:rFonts w:hint="eastAsia" w:ascii="宋体" w:hAnsi="宋体"/>
                <w:bCs/>
                <w:iCs/>
                <w:color w:val="000000"/>
                <w:sz w:val="24"/>
              </w:rPr>
              <w:t>无</w:t>
            </w:r>
          </w:p>
        </w:tc>
      </w:tr>
    </w:tbl>
    <w:p>
      <w:pPr>
        <w:spacing w:line="560" w:lineRule="exact"/>
        <w:jc w:val="center"/>
        <w:rPr>
          <w:rFonts w:ascii="宋体" w:hAnsi="宋体"/>
          <w:bCs/>
          <w:iCs/>
          <w:color w:val="000000"/>
          <w:sz w:val="24"/>
        </w:rPr>
        <w:sectPr>
          <w:type w:val="continuous"/>
          <w:pgSz w:w="11906" w:h="16838"/>
          <w:pgMar w:top="1440" w:right="1800" w:bottom="1440" w:left="1800" w:header="851" w:footer="992" w:gutter="0"/>
          <w:cols w:space="720"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Cs/>
                <w:iCs/>
                <w:color w:val="000000"/>
                <w:sz w:val="24"/>
              </w:rPr>
            </w:pPr>
            <w:r>
              <w:rPr>
                <w:rFonts w:hint="eastAsia" w:ascii="宋体" w:hAnsi="宋体"/>
                <w:bCs/>
                <w:iCs/>
                <w:color w:val="000000"/>
                <w:sz w:val="24"/>
              </w:rPr>
              <w:t>日期</w:t>
            </w: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4</w:t>
            </w:r>
            <w:r>
              <w:rPr>
                <w:rFonts w:hint="eastAsia" w:ascii="宋体" w:hAnsi="宋体"/>
                <w:bCs/>
                <w:iCs/>
                <w:color w:val="000000"/>
                <w:sz w:val="24"/>
              </w:rPr>
              <w:t>年</w:t>
            </w:r>
            <w:r>
              <w:rPr>
                <w:rFonts w:hint="eastAsia" w:ascii="宋体" w:hAnsi="宋体"/>
                <w:bCs/>
                <w:iCs/>
                <w:color w:val="000000"/>
                <w:sz w:val="24"/>
                <w:lang w:val="en-US" w:eastAsia="zh-CN"/>
              </w:rPr>
              <w:t>1</w:t>
            </w:r>
            <w:r>
              <w:rPr>
                <w:rFonts w:hint="eastAsia" w:ascii="宋体" w:hAnsi="宋体"/>
                <w:bCs/>
                <w:iCs/>
                <w:color w:val="000000"/>
                <w:sz w:val="24"/>
              </w:rPr>
              <w:t>月</w:t>
            </w:r>
            <w:r>
              <w:rPr>
                <w:rFonts w:hint="eastAsia" w:ascii="宋体" w:hAnsi="宋体"/>
                <w:bCs/>
                <w:iCs/>
                <w:color w:val="000000"/>
                <w:sz w:val="24"/>
                <w:lang w:val="en-US" w:eastAsia="zh-CN"/>
              </w:rPr>
              <w:t>8</w:t>
            </w:r>
            <w:r>
              <w:rPr>
                <w:rFonts w:hint="eastAsia" w:ascii="宋体" w:hAnsi="宋体"/>
                <w:bCs/>
                <w:iCs/>
                <w:color w:val="000000"/>
                <w:sz w:val="24"/>
              </w:rPr>
              <w:t>日</w:t>
            </w:r>
          </w:p>
        </w:tc>
      </w:tr>
    </w:tbl>
    <w:p>
      <w:pPr>
        <w:sectPr>
          <w:type w:val="continuous"/>
          <w:pgSz w:w="11906" w:h="16838"/>
          <w:pgMar w:top="1440" w:right="1800" w:bottom="1440" w:left="1800" w:header="851" w:footer="992" w:gutter="0"/>
          <w:cols w:space="720" w:num="1"/>
          <w:docGrid w:type="lines" w:linePitch="312" w:charSpace="0"/>
        </w:sectPr>
      </w:pPr>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OGZjZGYzNWMxMjU0MGQ4ODFhZjZhNzNkZjc1MTgifQ=="/>
  </w:docVars>
  <w:rsids>
    <w:rsidRoot w:val="65644F56"/>
    <w:rsid w:val="00061CCB"/>
    <w:rsid w:val="000A08FD"/>
    <w:rsid w:val="000A16B9"/>
    <w:rsid w:val="000A4B47"/>
    <w:rsid w:val="00152C64"/>
    <w:rsid w:val="00153BC1"/>
    <w:rsid w:val="00174A07"/>
    <w:rsid w:val="00182236"/>
    <w:rsid w:val="00190552"/>
    <w:rsid w:val="00194931"/>
    <w:rsid w:val="002E707F"/>
    <w:rsid w:val="00385628"/>
    <w:rsid w:val="00385B6A"/>
    <w:rsid w:val="003F5A94"/>
    <w:rsid w:val="004405D4"/>
    <w:rsid w:val="005121D6"/>
    <w:rsid w:val="00607840"/>
    <w:rsid w:val="00656753"/>
    <w:rsid w:val="0069088E"/>
    <w:rsid w:val="00693219"/>
    <w:rsid w:val="006D5562"/>
    <w:rsid w:val="006E75AD"/>
    <w:rsid w:val="007343E0"/>
    <w:rsid w:val="0074600F"/>
    <w:rsid w:val="007679B8"/>
    <w:rsid w:val="0079119F"/>
    <w:rsid w:val="0079346E"/>
    <w:rsid w:val="00793D52"/>
    <w:rsid w:val="007978C3"/>
    <w:rsid w:val="007D68B6"/>
    <w:rsid w:val="00830E15"/>
    <w:rsid w:val="009061FF"/>
    <w:rsid w:val="00961F0E"/>
    <w:rsid w:val="0099593F"/>
    <w:rsid w:val="009974F1"/>
    <w:rsid w:val="00A34086"/>
    <w:rsid w:val="00A72949"/>
    <w:rsid w:val="00A94D94"/>
    <w:rsid w:val="00B25D97"/>
    <w:rsid w:val="00B81F89"/>
    <w:rsid w:val="00BD3B6B"/>
    <w:rsid w:val="00BD4F89"/>
    <w:rsid w:val="00C30457"/>
    <w:rsid w:val="00C91167"/>
    <w:rsid w:val="00CC29F3"/>
    <w:rsid w:val="00CF4628"/>
    <w:rsid w:val="00D95D58"/>
    <w:rsid w:val="00EC1C4B"/>
    <w:rsid w:val="00EF0A9B"/>
    <w:rsid w:val="00F17B25"/>
    <w:rsid w:val="00F41FE3"/>
    <w:rsid w:val="00F76487"/>
    <w:rsid w:val="00FC3E20"/>
    <w:rsid w:val="013D79A5"/>
    <w:rsid w:val="014842C2"/>
    <w:rsid w:val="015676BF"/>
    <w:rsid w:val="01A3220E"/>
    <w:rsid w:val="01F57643"/>
    <w:rsid w:val="02466FC8"/>
    <w:rsid w:val="0256572A"/>
    <w:rsid w:val="02580567"/>
    <w:rsid w:val="026B29C1"/>
    <w:rsid w:val="03724537"/>
    <w:rsid w:val="037576B9"/>
    <w:rsid w:val="03822048"/>
    <w:rsid w:val="03C21D37"/>
    <w:rsid w:val="03C97144"/>
    <w:rsid w:val="03CE35CB"/>
    <w:rsid w:val="03EA1E5E"/>
    <w:rsid w:val="04786614"/>
    <w:rsid w:val="0491110B"/>
    <w:rsid w:val="04B067BF"/>
    <w:rsid w:val="04C91774"/>
    <w:rsid w:val="05064C2F"/>
    <w:rsid w:val="051C6AF1"/>
    <w:rsid w:val="055D755A"/>
    <w:rsid w:val="055E4FDC"/>
    <w:rsid w:val="05742A02"/>
    <w:rsid w:val="059C5BCD"/>
    <w:rsid w:val="05F54255"/>
    <w:rsid w:val="062937AB"/>
    <w:rsid w:val="065A430F"/>
    <w:rsid w:val="06840719"/>
    <w:rsid w:val="069448F1"/>
    <w:rsid w:val="06CA4402"/>
    <w:rsid w:val="06D30E14"/>
    <w:rsid w:val="06E076D6"/>
    <w:rsid w:val="07053E50"/>
    <w:rsid w:val="070C181F"/>
    <w:rsid w:val="07304ED7"/>
    <w:rsid w:val="07735607"/>
    <w:rsid w:val="077B16E9"/>
    <w:rsid w:val="07890DE8"/>
    <w:rsid w:val="084C43AA"/>
    <w:rsid w:val="08663D8C"/>
    <w:rsid w:val="086F72A5"/>
    <w:rsid w:val="09271496"/>
    <w:rsid w:val="092F3BD9"/>
    <w:rsid w:val="09444942"/>
    <w:rsid w:val="095E6B5B"/>
    <w:rsid w:val="0962143C"/>
    <w:rsid w:val="09823818"/>
    <w:rsid w:val="09A2473F"/>
    <w:rsid w:val="09A716C9"/>
    <w:rsid w:val="09B71549"/>
    <w:rsid w:val="09C97A66"/>
    <w:rsid w:val="09F4735B"/>
    <w:rsid w:val="0A133D15"/>
    <w:rsid w:val="0A880537"/>
    <w:rsid w:val="0AEF4C7A"/>
    <w:rsid w:val="0AF13704"/>
    <w:rsid w:val="0B4F7FBA"/>
    <w:rsid w:val="0B6E211B"/>
    <w:rsid w:val="0BA56868"/>
    <w:rsid w:val="0D173089"/>
    <w:rsid w:val="0D521BE9"/>
    <w:rsid w:val="0DA84B76"/>
    <w:rsid w:val="0E960052"/>
    <w:rsid w:val="0ECE15C8"/>
    <w:rsid w:val="0F856A42"/>
    <w:rsid w:val="0FCC6DFA"/>
    <w:rsid w:val="0FCF1F7D"/>
    <w:rsid w:val="0FCF68E2"/>
    <w:rsid w:val="0FF30BFE"/>
    <w:rsid w:val="104F12D1"/>
    <w:rsid w:val="108C1436"/>
    <w:rsid w:val="10912370"/>
    <w:rsid w:val="118D6A5B"/>
    <w:rsid w:val="11AD468B"/>
    <w:rsid w:val="11EC36DE"/>
    <w:rsid w:val="122761B2"/>
    <w:rsid w:val="125F6DB3"/>
    <w:rsid w:val="126B4AA7"/>
    <w:rsid w:val="12AF45B4"/>
    <w:rsid w:val="12CC0D36"/>
    <w:rsid w:val="130A3CBC"/>
    <w:rsid w:val="134D58A4"/>
    <w:rsid w:val="135A4648"/>
    <w:rsid w:val="136817E4"/>
    <w:rsid w:val="137E30B1"/>
    <w:rsid w:val="13891BCD"/>
    <w:rsid w:val="13AF13FA"/>
    <w:rsid w:val="140E3B8E"/>
    <w:rsid w:val="14576AE2"/>
    <w:rsid w:val="14805B6D"/>
    <w:rsid w:val="14915364"/>
    <w:rsid w:val="156C5731"/>
    <w:rsid w:val="158506E1"/>
    <w:rsid w:val="15AF4919"/>
    <w:rsid w:val="15BD6CF9"/>
    <w:rsid w:val="160708D7"/>
    <w:rsid w:val="160E0C15"/>
    <w:rsid w:val="161421BB"/>
    <w:rsid w:val="16414490"/>
    <w:rsid w:val="16B9038D"/>
    <w:rsid w:val="16E52D9F"/>
    <w:rsid w:val="17113708"/>
    <w:rsid w:val="17180C70"/>
    <w:rsid w:val="17542545"/>
    <w:rsid w:val="177C2D0B"/>
    <w:rsid w:val="17D74D8B"/>
    <w:rsid w:val="18F55A17"/>
    <w:rsid w:val="192F37A8"/>
    <w:rsid w:val="19442210"/>
    <w:rsid w:val="194C318E"/>
    <w:rsid w:val="199B3825"/>
    <w:rsid w:val="19A827F7"/>
    <w:rsid w:val="1A020731"/>
    <w:rsid w:val="1A1A1DF2"/>
    <w:rsid w:val="1A3813D6"/>
    <w:rsid w:val="1A395395"/>
    <w:rsid w:val="1A3B684E"/>
    <w:rsid w:val="1ACD5B33"/>
    <w:rsid w:val="1AD17C94"/>
    <w:rsid w:val="1AF23A1D"/>
    <w:rsid w:val="1B535AE1"/>
    <w:rsid w:val="1B8340B2"/>
    <w:rsid w:val="1BD83BD7"/>
    <w:rsid w:val="1C4E7819"/>
    <w:rsid w:val="1C8C20A0"/>
    <w:rsid w:val="1C936FC9"/>
    <w:rsid w:val="1CA82A35"/>
    <w:rsid w:val="1CAC7F8A"/>
    <w:rsid w:val="1CDC1E81"/>
    <w:rsid w:val="1D692AA6"/>
    <w:rsid w:val="1DB506E8"/>
    <w:rsid w:val="1DE04DC6"/>
    <w:rsid w:val="1E0F11DA"/>
    <w:rsid w:val="1E4E2B1A"/>
    <w:rsid w:val="1E6C1577"/>
    <w:rsid w:val="1EF8115B"/>
    <w:rsid w:val="1EFF124F"/>
    <w:rsid w:val="1F0C2261"/>
    <w:rsid w:val="1F615307"/>
    <w:rsid w:val="1F703310"/>
    <w:rsid w:val="1F8E758F"/>
    <w:rsid w:val="1F9549BE"/>
    <w:rsid w:val="1FC009DE"/>
    <w:rsid w:val="20077269"/>
    <w:rsid w:val="20531417"/>
    <w:rsid w:val="209B3D8A"/>
    <w:rsid w:val="20CF5244"/>
    <w:rsid w:val="20D6616D"/>
    <w:rsid w:val="20F1259A"/>
    <w:rsid w:val="21A345BC"/>
    <w:rsid w:val="21E94D31"/>
    <w:rsid w:val="223A6BE0"/>
    <w:rsid w:val="22484D4A"/>
    <w:rsid w:val="22C46ADC"/>
    <w:rsid w:val="2320037D"/>
    <w:rsid w:val="2320282F"/>
    <w:rsid w:val="237468DC"/>
    <w:rsid w:val="237F2849"/>
    <w:rsid w:val="239C1C25"/>
    <w:rsid w:val="23FA682D"/>
    <w:rsid w:val="24204467"/>
    <w:rsid w:val="24420388"/>
    <w:rsid w:val="24911526"/>
    <w:rsid w:val="24D20E27"/>
    <w:rsid w:val="24D432A0"/>
    <w:rsid w:val="24EC2D9F"/>
    <w:rsid w:val="251251DD"/>
    <w:rsid w:val="2571687C"/>
    <w:rsid w:val="259D6446"/>
    <w:rsid w:val="25CA6805"/>
    <w:rsid w:val="25D56B7D"/>
    <w:rsid w:val="25EE6B80"/>
    <w:rsid w:val="26227500"/>
    <w:rsid w:val="26261822"/>
    <w:rsid w:val="264542D6"/>
    <w:rsid w:val="26930D99"/>
    <w:rsid w:val="26A63B65"/>
    <w:rsid w:val="272C04F1"/>
    <w:rsid w:val="274B1605"/>
    <w:rsid w:val="277B63D4"/>
    <w:rsid w:val="27CC2319"/>
    <w:rsid w:val="28332497"/>
    <w:rsid w:val="283530A9"/>
    <w:rsid w:val="285A67DC"/>
    <w:rsid w:val="28A718C1"/>
    <w:rsid w:val="28B2213B"/>
    <w:rsid w:val="2909285F"/>
    <w:rsid w:val="29512576"/>
    <w:rsid w:val="295A4427"/>
    <w:rsid w:val="29796396"/>
    <w:rsid w:val="298C61C2"/>
    <w:rsid w:val="299E09C2"/>
    <w:rsid w:val="29C3378E"/>
    <w:rsid w:val="2A111DBB"/>
    <w:rsid w:val="2A652B1C"/>
    <w:rsid w:val="2A9B7937"/>
    <w:rsid w:val="2AD1468F"/>
    <w:rsid w:val="2AE15BDD"/>
    <w:rsid w:val="2AFC049D"/>
    <w:rsid w:val="2B35608F"/>
    <w:rsid w:val="2B554FAF"/>
    <w:rsid w:val="2B627F97"/>
    <w:rsid w:val="2B653E78"/>
    <w:rsid w:val="2BAC026A"/>
    <w:rsid w:val="2C175D66"/>
    <w:rsid w:val="2C2D4686"/>
    <w:rsid w:val="2C305618"/>
    <w:rsid w:val="2C3C6E9F"/>
    <w:rsid w:val="2C6C546F"/>
    <w:rsid w:val="2C835E6C"/>
    <w:rsid w:val="2CB20162"/>
    <w:rsid w:val="2CB61296"/>
    <w:rsid w:val="2CD30697"/>
    <w:rsid w:val="2CFC346F"/>
    <w:rsid w:val="2D59567E"/>
    <w:rsid w:val="2D68046C"/>
    <w:rsid w:val="2DAD74FD"/>
    <w:rsid w:val="2DB16BAA"/>
    <w:rsid w:val="2DFB7200"/>
    <w:rsid w:val="2E483B84"/>
    <w:rsid w:val="2E60041A"/>
    <w:rsid w:val="2E6A74B4"/>
    <w:rsid w:val="2E95716C"/>
    <w:rsid w:val="2EAD5BAE"/>
    <w:rsid w:val="2F1B15D4"/>
    <w:rsid w:val="2F2E62F8"/>
    <w:rsid w:val="2F6E294B"/>
    <w:rsid w:val="2F7F2B32"/>
    <w:rsid w:val="2F9D43AD"/>
    <w:rsid w:val="2FE46D20"/>
    <w:rsid w:val="30062758"/>
    <w:rsid w:val="30234286"/>
    <w:rsid w:val="30C90729"/>
    <w:rsid w:val="30F6750D"/>
    <w:rsid w:val="311570E0"/>
    <w:rsid w:val="312B4848"/>
    <w:rsid w:val="31304568"/>
    <w:rsid w:val="3158209A"/>
    <w:rsid w:val="315D2D09"/>
    <w:rsid w:val="31603C8E"/>
    <w:rsid w:val="321A21C3"/>
    <w:rsid w:val="324E1B7E"/>
    <w:rsid w:val="326775CB"/>
    <w:rsid w:val="32F10F64"/>
    <w:rsid w:val="335A72CC"/>
    <w:rsid w:val="335B4D4D"/>
    <w:rsid w:val="335E6981"/>
    <w:rsid w:val="33AD12D4"/>
    <w:rsid w:val="33EC4E26"/>
    <w:rsid w:val="3424001A"/>
    <w:rsid w:val="349F47C4"/>
    <w:rsid w:val="349F59B1"/>
    <w:rsid w:val="34B364DC"/>
    <w:rsid w:val="34F548F1"/>
    <w:rsid w:val="35384DBC"/>
    <w:rsid w:val="3572573D"/>
    <w:rsid w:val="35880BA1"/>
    <w:rsid w:val="35BA13B5"/>
    <w:rsid w:val="35D963E6"/>
    <w:rsid w:val="35ED5087"/>
    <w:rsid w:val="35FE0934"/>
    <w:rsid w:val="36350CFE"/>
    <w:rsid w:val="363F5D8A"/>
    <w:rsid w:val="367756EB"/>
    <w:rsid w:val="368176A2"/>
    <w:rsid w:val="369B06A2"/>
    <w:rsid w:val="36CC55B2"/>
    <w:rsid w:val="37016B5B"/>
    <w:rsid w:val="370A32DF"/>
    <w:rsid w:val="37827492"/>
    <w:rsid w:val="3787573D"/>
    <w:rsid w:val="37947CEA"/>
    <w:rsid w:val="37BC3FFD"/>
    <w:rsid w:val="37ED004F"/>
    <w:rsid w:val="381A414A"/>
    <w:rsid w:val="3832264A"/>
    <w:rsid w:val="386A5F10"/>
    <w:rsid w:val="38941AE2"/>
    <w:rsid w:val="38C2132C"/>
    <w:rsid w:val="38C57DA3"/>
    <w:rsid w:val="38E04EBC"/>
    <w:rsid w:val="38F85F83"/>
    <w:rsid w:val="39095129"/>
    <w:rsid w:val="397E7039"/>
    <w:rsid w:val="39923F83"/>
    <w:rsid w:val="399A358E"/>
    <w:rsid w:val="39A12F19"/>
    <w:rsid w:val="39D6364A"/>
    <w:rsid w:val="3A390ABB"/>
    <w:rsid w:val="3A7E74EA"/>
    <w:rsid w:val="3A9A0F33"/>
    <w:rsid w:val="3AA115F1"/>
    <w:rsid w:val="3ACD62C8"/>
    <w:rsid w:val="3ADE7779"/>
    <w:rsid w:val="3AE64078"/>
    <w:rsid w:val="3B381D36"/>
    <w:rsid w:val="3B3C653D"/>
    <w:rsid w:val="3B530361"/>
    <w:rsid w:val="3B694E70"/>
    <w:rsid w:val="3B76415E"/>
    <w:rsid w:val="3B9F5704"/>
    <w:rsid w:val="3BA548E8"/>
    <w:rsid w:val="3BC86DA9"/>
    <w:rsid w:val="3BEC597C"/>
    <w:rsid w:val="3BF2683A"/>
    <w:rsid w:val="3C5F759A"/>
    <w:rsid w:val="3C7E4D5E"/>
    <w:rsid w:val="3C8838BD"/>
    <w:rsid w:val="3D286FE2"/>
    <w:rsid w:val="3D581A8C"/>
    <w:rsid w:val="3D9A7321"/>
    <w:rsid w:val="3DD65E81"/>
    <w:rsid w:val="3E5F3143"/>
    <w:rsid w:val="3E6A08F3"/>
    <w:rsid w:val="3E6C71D9"/>
    <w:rsid w:val="3E752508"/>
    <w:rsid w:val="3E951A13"/>
    <w:rsid w:val="3E965395"/>
    <w:rsid w:val="3EC76A8F"/>
    <w:rsid w:val="3F4924E0"/>
    <w:rsid w:val="3F7F29BA"/>
    <w:rsid w:val="3F887557"/>
    <w:rsid w:val="3F8C3C47"/>
    <w:rsid w:val="3F9006D6"/>
    <w:rsid w:val="402B6356"/>
    <w:rsid w:val="40404BCD"/>
    <w:rsid w:val="404360D4"/>
    <w:rsid w:val="40720CC9"/>
    <w:rsid w:val="412669CE"/>
    <w:rsid w:val="425D7D05"/>
    <w:rsid w:val="42622ED5"/>
    <w:rsid w:val="42664A43"/>
    <w:rsid w:val="427A1B6E"/>
    <w:rsid w:val="42AA2390"/>
    <w:rsid w:val="42D351A8"/>
    <w:rsid w:val="43026FC7"/>
    <w:rsid w:val="43142AD1"/>
    <w:rsid w:val="433F3511"/>
    <w:rsid w:val="4347248C"/>
    <w:rsid w:val="43561D06"/>
    <w:rsid w:val="435C03FF"/>
    <w:rsid w:val="438F69F9"/>
    <w:rsid w:val="43AD5F98"/>
    <w:rsid w:val="43DE598E"/>
    <w:rsid w:val="43E2678B"/>
    <w:rsid w:val="43EA5DFC"/>
    <w:rsid w:val="43F03992"/>
    <w:rsid w:val="43F4090A"/>
    <w:rsid w:val="441D1ACF"/>
    <w:rsid w:val="44447A3E"/>
    <w:rsid w:val="445D19F1"/>
    <w:rsid w:val="44CA5513"/>
    <w:rsid w:val="44F16F17"/>
    <w:rsid w:val="44F71C5C"/>
    <w:rsid w:val="454152E2"/>
    <w:rsid w:val="45C27C01"/>
    <w:rsid w:val="45D21D54"/>
    <w:rsid w:val="45DA0435"/>
    <w:rsid w:val="46064A40"/>
    <w:rsid w:val="460A3878"/>
    <w:rsid w:val="46256620"/>
    <w:rsid w:val="462F49B1"/>
    <w:rsid w:val="4636236A"/>
    <w:rsid w:val="46726720"/>
    <w:rsid w:val="4675794B"/>
    <w:rsid w:val="4731674C"/>
    <w:rsid w:val="48204E42"/>
    <w:rsid w:val="48605F61"/>
    <w:rsid w:val="496C75FB"/>
    <w:rsid w:val="49714B4F"/>
    <w:rsid w:val="497A2803"/>
    <w:rsid w:val="4986284E"/>
    <w:rsid w:val="498A53FE"/>
    <w:rsid w:val="49BF6DC7"/>
    <w:rsid w:val="49EF1EDA"/>
    <w:rsid w:val="49FF1EDC"/>
    <w:rsid w:val="4A0D7AEB"/>
    <w:rsid w:val="4A384B38"/>
    <w:rsid w:val="4A5261A8"/>
    <w:rsid w:val="4AB1581B"/>
    <w:rsid w:val="4AC61860"/>
    <w:rsid w:val="4B0E1399"/>
    <w:rsid w:val="4B2F60E9"/>
    <w:rsid w:val="4B467EC8"/>
    <w:rsid w:val="4B6F2B0D"/>
    <w:rsid w:val="4BAF6637"/>
    <w:rsid w:val="4BE62961"/>
    <w:rsid w:val="4C1821E8"/>
    <w:rsid w:val="4C381263"/>
    <w:rsid w:val="4C537AD8"/>
    <w:rsid w:val="4CA76AC2"/>
    <w:rsid w:val="4CC4617F"/>
    <w:rsid w:val="4CD1708B"/>
    <w:rsid w:val="4CEB569C"/>
    <w:rsid w:val="4D1D2091"/>
    <w:rsid w:val="4D6D3115"/>
    <w:rsid w:val="4D8971C2"/>
    <w:rsid w:val="4DC0115B"/>
    <w:rsid w:val="4DDE46CE"/>
    <w:rsid w:val="4DF26BF1"/>
    <w:rsid w:val="4E0C3F18"/>
    <w:rsid w:val="4E2C2824"/>
    <w:rsid w:val="4E7D1F9A"/>
    <w:rsid w:val="4EC66BCA"/>
    <w:rsid w:val="4F7B0C77"/>
    <w:rsid w:val="4F986F22"/>
    <w:rsid w:val="4FAC4ED0"/>
    <w:rsid w:val="4FB06D27"/>
    <w:rsid w:val="500F18DC"/>
    <w:rsid w:val="50691C7F"/>
    <w:rsid w:val="509C0DC4"/>
    <w:rsid w:val="50AC6DEA"/>
    <w:rsid w:val="50CE2822"/>
    <w:rsid w:val="514433E7"/>
    <w:rsid w:val="51893E80"/>
    <w:rsid w:val="518E5EE5"/>
    <w:rsid w:val="51D05DEF"/>
    <w:rsid w:val="51DE2823"/>
    <w:rsid w:val="51ED2C7A"/>
    <w:rsid w:val="51F15DFD"/>
    <w:rsid w:val="52025C19"/>
    <w:rsid w:val="5225207D"/>
    <w:rsid w:val="52484E8C"/>
    <w:rsid w:val="524C5212"/>
    <w:rsid w:val="525B7A2A"/>
    <w:rsid w:val="52C17517"/>
    <w:rsid w:val="53042A3A"/>
    <w:rsid w:val="530F09AD"/>
    <w:rsid w:val="53975234"/>
    <w:rsid w:val="53AE1C15"/>
    <w:rsid w:val="540F51E2"/>
    <w:rsid w:val="543A4A3D"/>
    <w:rsid w:val="54765151"/>
    <w:rsid w:val="547D3DA0"/>
    <w:rsid w:val="549A092F"/>
    <w:rsid w:val="54A86A16"/>
    <w:rsid w:val="54AB3A77"/>
    <w:rsid w:val="54EA6DDF"/>
    <w:rsid w:val="55D90C66"/>
    <w:rsid w:val="56153049"/>
    <w:rsid w:val="5651762B"/>
    <w:rsid w:val="568B0540"/>
    <w:rsid w:val="568C1C75"/>
    <w:rsid w:val="56B6734F"/>
    <w:rsid w:val="574B3B27"/>
    <w:rsid w:val="57882F2B"/>
    <w:rsid w:val="57923D07"/>
    <w:rsid w:val="57940F3C"/>
    <w:rsid w:val="57C17F19"/>
    <w:rsid w:val="57E72F44"/>
    <w:rsid w:val="5800606D"/>
    <w:rsid w:val="584F4EF2"/>
    <w:rsid w:val="586535C7"/>
    <w:rsid w:val="58A0134F"/>
    <w:rsid w:val="590D25DA"/>
    <w:rsid w:val="595B51E1"/>
    <w:rsid w:val="598004D2"/>
    <w:rsid w:val="59826B8A"/>
    <w:rsid w:val="59E16582"/>
    <w:rsid w:val="5A4929F1"/>
    <w:rsid w:val="5A6B0F6B"/>
    <w:rsid w:val="5AF96A82"/>
    <w:rsid w:val="5B7D3E40"/>
    <w:rsid w:val="5BAA6E73"/>
    <w:rsid w:val="5BB70707"/>
    <w:rsid w:val="5BDD4C68"/>
    <w:rsid w:val="5C094C8E"/>
    <w:rsid w:val="5C4478F8"/>
    <w:rsid w:val="5C593469"/>
    <w:rsid w:val="5C593FEB"/>
    <w:rsid w:val="5C702D1F"/>
    <w:rsid w:val="5C817093"/>
    <w:rsid w:val="5C8C2F72"/>
    <w:rsid w:val="5CAF2E9D"/>
    <w:rsid w:val="5CC17177"/>
    <w:rsid w:val="5CE709A3"/>
    <w:rsid w:val="5D327BF3"/>
    <w:rsid w:val="5D364D00"/>
    <w:rsid w:val="5D42724F"/>
    <w:rsid w:val="5D677DBE"/>
    <w:rsid w:val="5DB062C3"/>
    <w:rsid w:val="5DE22614"/>
    <w:rsid w:val="5DE8146D"/>
    <w:rsid w:val="5E2F29E1"/>
    <w:rsid w:val="5E747543"/>
    <w:rsid w:val="5E8F31DE"/>
    <w:rsid w:val="5F2971A4"/>
    <w:rsid w:val="5F507F6E"/>
    <w:rsid w:val="5F663BDA"/>
    <w:rsid w:val="5F93497E"/>
    <w:rsid w:val="5FA57677"/>
    <w:rsid w:val="5FF351F8"/>
    <w:rsid w:val="613B3002"/>
    <w:rsid w:val="61407419"/>
    <w:rsid w:val="616E24E6"/>
    <w:rsid w:val="617A6A6D"/>
    <w:rsid w:val="618D2D9B"/>
    <w:rsid w:val="61CF1053"/>
    <w:rsid w:val="61FF0E6B"/>
    <w:rsid w:val="6204625D"/>
    <w:rsid w:val="62D607B4"/>
    <w:rsid w:val="62E50DCE"/>
    <w:rsid w:val="63647659"/>
    <w:rsid w:val="639D1FB6"/>
    <w:rsid w:val="63FC040C"/>
    <w:rsid w:val="64110715"/>
    <w:rsid w:val="64273D92"/>
    <w:rsid w:val="642B37B7"/>
    <w:rsid w:val="647C7B30"/>
    <w:rsid w:val="647F192D"/>
    <w:rsid w:val="648604FA"/>
    <w:rsid w:val="64DC274B"/>
    <w:rsid w:val="65444892"/>
    <w:rsid w:val="65644F56"/>
    <w:rsid w:val="65737C69"/>
    <w:rsid w:val="65935F98"/>
    <w:rsid w:val="65B6330A"/>
    <w:rsid w:val="65B82E2D"/>
    <w:rsid w:val="65DF7AA2"/>
    <w:rsid w:val="66C023A3"/>
    <w:rsid w:val="66D364AF"/>
    <w:rsid w:val="66E86079"/>
    <w:rsid w:val="674227B5"/>
    <w:rsid w:val="6751640F"/>
    <w:rsid w:val="67917918"/>
    <w:rsid w:val="679D66C3"/>
    <w:rsid w:val="67CA3E29"/>
    <w:rsid w:val="682347BC"/>
    <w:rsid w:val="68367986"/>
    <w:rsid w:val="683965B1"/>
    <w:rsid w:val="68467C21"/>
    <w:rsid w:val="68B234DF"/>
    <w:rsid w:val="68F87A44"/>
    <w:rsid w:val="68F933EA"/>
    <w:rsid w:val="69330081"/>
    <w:rsid w:val="696403F8"/>
    <w:rsid w:val="6972480C"/>
    <w:rsid w:val="699F54C1"/>
    <w:rsid w:val="69E107FD"/>
    <w:rsid w:val="6A0420E4"/>
    <w:rsid w:val="6A393A37"/>
    <w:rsid w:val="6A492A99"/>
    <w:rsid w:val="6AA17F1E"/>
    <w:rsid w:val="6ACF3DC7"/>
    <w:rsid w:val="6AEC5872"/>
    <w:rsid w:val="6B0A6A53"/>
    <w:rsid w:val="6B275ADB"/>
    <w:rsid w:val="6B364CE5"/>
    <w:rsid w:val="6B4669FD"/>
    <w:rsid w:val="6B806E93"/>
    <w:rsid w:val="6B81621A"/>
    <w:rsid w:val="6CC02668"/>
    <w:rsid w:val="6CCF6D90"/>
    <w:rsid w:val="6CF67A63"/>
    <w:rsid w:val="6D0445D1"/>
    <w:rsid w:val="6D503F59"/>
    <w:rsid w:val="6D6D5995"/>
    <w:rsid w:val="6D966B59"/>
    <w:rsid w:val="6DA106DD"/>
    <w:rsid w:val="6DB7119F"/>
    <w:rsid w:val="6E006E88"/>
    <w:rsid w:val="6E347235"/>
    <w:rsid w:val="6E66791E"/>
    <w:rsid w:val="6E694933"/>
    <w:rsid w:val="6E912DC8"/>
    <w:rsid w:val="6EA445B0"/>
    <w:rsid w:val="6EA50F15"/>
    <w:rsid w:val="6EB2677A"/>
    <w:rsid w:val="6EDA51EF"/>
    <w:rsid w:val="6EE03A73"/>
    <w:rsid w:val="6EEA44FE"/>
    <w:rsid w:val="6F146FCA"/>
    <w:rsid w:val="6F2D657F"/>
    <w:rsid w:val="6F4B4F26"/>
    <w:rsid w:val="6F543BBD"/>
    <w:rsid w:val="6F693FB4"/>
    <w:rsid w:val="6F871B73"/>
    <w:rsid w:val="701A4E78"/>
    <w:rsid w:val="7039132B"/>
    <w:rsid w:val="704A0ACE"/>
    <w:rsid w:val="70B76A49"/>
    <w:rsid w:val="70C37248"/>
    <w:rsid w:val="71266472"/>
    <w:rsid w:val="713044EC"/>
    <w:rsid w:val="71665391"/>
    <w:rsid w:val="71B86E91"/>
    <w:rsid w:val="71C7243B"/>
    <w:rsid w:val="71E75B6E"/>
    <w:rsid w:val="725B1558"/>
    <w:rsid w:val="725B22AA"/>
    <w:rsid w:val="726308ED"/>
    <w:rsid w:val="730055A4"/>
    <w:rsid w:val="731502E1"/>
    <w:rsid w:val="733F0331"/>
    <w:rsid w:val="735B4A7E"/>
    <w:rsid w:val="736864EB"/>
    <w:rsid w:val="739545DB"/>
    <w:rsid w:val="739F4EC0"/>
    <w:rsid w:val="73B43C6D"/>
    <w:rsid w:val="73D526A3"/>
    <w:rsid w:val="73DA16C7"/>
    <w:rsid w:val="740F08B2"/>
    <w:rsid w:val="74636DC0"/>
    <w:rsid w:val="7473071B"/>
    <w:rsid w:val="74A802FB"/>
    <w:rsid w:val="74C037D3"/>
    <w:rsid w:val="74E57755"/>
    <w:rsid w:val="7535113A"/>
    <w:rsid w:val="753913DE"/>
    <w:rsid w:val="757415C3"/>
    <w:rsid w:val="75AF4DB7"/>
    <w:rsid w:val="75E95CFE"/>
    <w:rsid w:val="762C5A1A"/>
    <w:rsid w:val="76542E2F"/>
    <w:rsid w:val="76985EA2"/>
    <w:rsid w:val="76D77B85"/>
    <w:rsid w:val="76F507BA"/>
    <w:rsid w:val="776269F6"/>
    <w:rsid w:val="776E51C6"/>
    <w:rsid w:val="778D3E30"/>
    <w:rsid w:val="77A108D3"/>
    <w:rsid w:val="77CA2AA6"/>
    <w:rsid w:val="78461F7B"/>
    <w:rsid w:val="78517612"/>
    <w:rsid w:val="789B52A0"/>
    <w:rsid w:val="79343267"/>
    <w:rsid w:val="794E7AD8"/>
    <w:rsid w:val="799B3F11"/>
    <w:rsid w:val="7A0657BE"/>
    <w:rsid w:val="7A3754C6"/>
    <w:rsid w:val="7A6914C3"/>
    <w:rsid w:val="7A693642"/>
    <w:rsid w:val="7A8C6D1C"/>
    <w:rsid w:val="7AF6094A"/>
    <w:rsid w:val="7AFA48CD"/>
    <w:rsid w:val="7BB57A83"/>
    <w:rsid w:val="7C050B07"/>
    <w:rsid w:val="7C07331C"/>
    <w:rsid w:val="7C3061AC"/>
    <w:rsid w:val="7C3C3263"/>
    <w:rsid w:val="7C44614D"/>
    <w:rsid w:val="7C6565A2"/>
    <w:rsid w:val="7C7575D0"/>
    <w:rsid w:val="7CBC41BB"/>
    <w:rsid w:val="7CE85797"/>
    <w:rsid w:val="7DBD068D"/>
    <w:rsid w:val="7DDC15AA"/>
    <w:rsid w:val="7DDF5F87"/>
    <w:rsid w:val="7DE34815"/>
    <w:rsid w:val="7E1B7404"/>
    <w:rsid w:val="7E341654"/>
    <w:rsid w:val="7E88415D"/>
    <w:rsid w:val="7EC32810"/>
    <w:rsid w:val="7ECF5717"/>
    <w:rsid w:val="7ED918AA"/>
    <w:rsid w:val="7F5027ED"/>
    <w:rsid w:val="7F682989"/>
    <w:rsid w:val="7F797665"/>
    <w:rsid w:val="7F814C20"/>
    <w:rsid w:val="7F870749"/>
    <w:rsid w:val="7FBD13DE"/>
    <w:rsid w:val="7FD4359F"/>
    <w:rsid w:val="7FEC26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paragraph" w:styleId="8">
    <w:name w:val="annotation subject"/>
    <w:basedOn w:val="3"/>
    <w:next w:val="3"/>
    <w:link w:val="18"/>
    <w:qFormat/>
    <w:uiPriority w:val="0"/>
    <w:rPr>
      <w:b/>
      <w:bCs/>
    </w:rPr>
  </w:style>
  <w:style w:type="character" w:styleId="11">
    <w:name w:val="Emphasis"/>
    <w:qFormat/>
    <w:uiPriority w:val="0"/>
    <w:rPr>
      <w:i/>
    </w:rPr>
  </w:style>
  <w:style w:type="character" w:styleId="12">
    <w:name w:val="Hyperlink"/>
    <w:qFormat/>
    <w:uiPriority w:val="0"/>
    <w:rPr>
      <w:color w:val="0563C1"/>
      <w:u w:val="single"/>
    </w:rPr>
  </w:style>
  <w:style w:type="character" w:styleId="13">
    <w:name w:val="annotation reference"/>
    <w:qFormat/>
    <w:uiPriority w:val="0"/>
    <w:rPr>
      <w:sz w:val="21"/>
      <w:szCs w:val="21"/>
    </w:rPr>
  </w:style>
  <w:style w:type="character" w:customStyle="1" w:styleId="14">
    <w:name w:val="批注文字 字符"/>
    <w:link w:val="3"/>
    <w:qFormat/>
    <w:uiPriority w:val="0"/>
    <w:rPr>
      <w:rFonts w:ascii="Calibri" w:hAnsi="Calibri"/>
      <w:kern w:val="2"/>
      <w:sz w:val="21"/>
      <w:szCs w:val="24"/>
    </w:rPr>
  </w:style>
  <w:style w:type="character" w:customStyle="1" w:styleId="15">
    <w:name w:val="批注框文本 字符"/>
    <w:link w:val="4"/>
    <w:qFormat/>
    <w:uiPriority w:val="0"/>
    <w:rPr>
      <w:rFonts w:ascii="Calibri" w:hAnsi="Calibri"/>
      <w:kern w:val="2"/>
      <w:sz w:val="18"/>
      <w:szCs w:val="18"/>
    </w:rPr>
  </w:style>
  <w:style w:type="character" w:customStyle="1" w:styleId="16">
    <w:name w:val="页脚 字符"/>
    <w:link w:val="5"/>
    <w:qFormat/>
    <w:uiPriority w:val="0"/>
    <w:rPr>
      <w:rFonts w:ascii="Calibri" w:hAnsi="Calibri"/>
      <w:kern w:val="2"/>
      <w:sz w:val="18"/>
      <w:szCs w:val="18"/>
    </w:rPr>
  </w:style>
  <w:style w:type="character" w:customStyle="1" w:styleId="17">
    <w:name w:val="页眉 字符"/>
    <w:link w:val="6"/>
    <w:qFormat/>
    <w:uiPriority w:val="0"/>
    <w:rPr>
      <w:rFonts w:ascii="Calibri" w:hAnsi="Calibri"/>
      <w:kern w:val="2"/>
      <w:sz w:val="18"/>
      <w:szCs w:val="18"/>
    </w:rPr>
  </w:style>
  <w:style w:type="character" w:customStyle="1" w:styleId="18">
    <w:name w:val="批注主题 字符"/>
    <w:link w:val="8"/>
    <w:qFormat/>
    <w:uiPriority w:val="0"/>
    <w:rPr>
      <w:rFonts w:ascii="Calibri" w:hAnsi="Calibri"/>
      <w:b/>
      <w:bCs/>
      <w:kern w:val="2"/>
      <w:sz w:val="21"/>
      <w:szCs w:val="24"/>
    </w:rPr>
  </w:style>
  <w:style w:type="paragraph" w:styleId="19">
    <w:name w:val="List Paragraph"/>
    <w:basedOn w:val="1"/>
    <w:qFormat/>
    <w:uiPriority w:val="34"/>
    <w:pPr>
      <w:ind w:firstLine="420" w:firstLineChars="200"/>
    </w:pPr>
  </w:style>
  <w:style w:type="paragraph" w:customStyle="1" w:styleId="20">
    <w:name w:val="007楷体加粗"/>
    <w:basedOn w:val="1"/>
    <w:qFormat/>
    <w:uiPriority w:val="0"/>
    <w:pPr>
      <w:overflowPunct w:val="0"/>
      <w:autoSpaceDE w:val="0"/>
      <w:autoSpaceDN w:val="0"/>
      <w:adjustRightInd w:val="0"/>
      <w:snapToGrid w:val="0"/>
      <w:spacing w:before="120" w:beforeLines="50" w:line="360" w:lineRule="auto"/>
      <w:ind w:firstLine="482" w:firstLineChars="200"/>
    </w:pPr>
    <w:rPr>
      <w:rFonts w:ascii="楷体" w:hAnsi="楷体" w:eastAsia="楷体"/>
      <w:b/>
      <w:sz w:val="24"/>
    </w:rPr>
  </w:style>
  <w:style w:type="character" w:customStyle="1" w:styleId="21">
    <w:name w:val="Unresolved Mention1"/>
    <w:unhideWhenUsed/>
    <w:qFormat/>
    <w:uiPriority w:val="99"/>
    <w:rPr>
      <w:color w:val="605E5C"/>
      <w:shd w:val="clear" w:color="auto" w:fill="E1DFDD"/>
    </w:rPr>
  </w:style>
  <w:style w:type="paragraph" w:customStyle="1" w:styleId="22">
    <w:name w:val="_Style 21"/>
    <w:unhideWhenUsed/>
    <w:qFormat/>
    <w:uiPriority w:val="99"/>
    <w:rPr>
      <w:rFonts w:ascii="Calibri" w:hAnsi="Calibri" w:eastAsia="宋体" w:cs="Times New Roman"/>
      <w:kern w:val="2"/>
      <w:sz w:val="21"/>
      <w:szCs w:val="24"/>
      <w:lang w:val="en-US" w:eastAsia="zh-CN" w:bidi="ar-SA"/>
    </w:rPr>
  </w:style>
  <w:style w:type="paragraph" w:customStyle="1" w:styleId="23">
    <w:name w:val="Sujet"/>
    <w:qFormat/>
    <w:uiPriority w:val="0"/>
    <w:rPr>
      <w:rFonts w:ascii="Arial" w:hAnsi="Arial" w:eastAsia="宋体" w:cs="Arial"/>
      <w:bCs/>
      <w:lang w:val="en-US" w:eastAsia="fr-FR"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Words>
  <Characters>1990</Characters>
  <Lines>16</Lines>
  <Paragraphs>4</Paragraphs>
  <TotalTime>8</TotalTime>
  <ScaleCrop>false</ScaleCrop>
  <LinksUpToDate>false</LinksUpToDate>
  <CharactersWithSpaces>2335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2023-01-17T03:15:00Z</dcterms:created>
  <dc:creator>李瑶瑶</dc:creator>
  <cp:lastModifiedBy>gaojuan</cp:lastModifiedBy>
  <dcterms:modified xsi:type="dcterms:W3CDTF">2024-01-08T14:44:03Z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A7109910D70B4902B43E79D2D3337EBD</vt:lpwstr>
  </property>
</Properties>
</file>